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C78" w:rsidTr="008D0507">
        <w:tc>
          <w:tcPr>
            <w:tcW w:w="9016" w:type="dxa"/>
            <w:shd w:val="clear" w:color="auto" w:fill="9966FF"/>
          </w:tcPr>
          <w:p w:rsidR="008D0507" w:rsidP="008D0507" w:rsidRDefault="008D0507">
            <w:pPr>
              <w:pStyle w:val="Default"/>
              <w:jc w:val="center"/>
              <w:rPr>
                <w:sz w:val="32"/>
                <w:szCs w:val="32"/>
              </w:rPr>
            </w:pPr>
            <w:bookmarkStart w:name="_GoBack" w:id="0"/>
            <w:bookmarkEnd w:id="0"/>
            <w:r>
              <w:rPr>
                <w:b/>
                <w:bCs/>
                <w:sz w:val="32"/>
                <w:szCs w:val="32"/>
              </w:rPr>
              <w:t>Guidance for Settings</w:t>
            </w:r>
          </w:p>
          <w:p w:rsidR="004B4C78" w:rsidP="008D0507" w:rsidRDefault="008D050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Planning a 6 monthly Review of an Education, Health and Care Plan (EHCP)</w:t>
            </w:r>
          </w:p>
        </w:tc>
      </w:tr>
    </w:tbl>
    <w:p w:rsidR="00F55A13" w:rsidP="00F55A13" w:rsidRDefault="00F55A13">
      <w:pPr>
        <w:jc w:val="center"/>
      </w:pPr>
      <w:r>
        <w:rPr>
          <w:b/>
          <w:bCs/>
          <w:sz w:val="23"/>
          <w:szCs w:val="23"/>
        </w:rPr>
        <w:t>(Reviews for children under the age of 5 should be carried out within 6 months after the EHCP has been finalised or the previous review.)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7873"/>
      </w:tblGrid>
      <w:tr w:rsidR="004B4C78" w:rsidTr="00947465">
        <w:tc>
          <w:tcPr>
            <w:tcW w:w="1143" w:type="dxa"/>
            <w:shd w:val="clear" w:color="auto" w:fill="9966FF"/>
          </w:tcPr>
          <w:p w:rsidRPr="00A57C54" w:rsidR="004B4C78" w:rsidP="004B4C78" w:rsidRDefault="004B4C78">
            <w:pPr>
              <w:rPr>
                <w:b/>
              </w:rPr>
            </w:pPr>
            <w:r w:rsidRPr="00A57C54">
              <w:rPr>
                <w:b/>
              </w:rPr>
              <w:t xml:space="preserve">Time </w:t>
            </w:r>
          </w:p>
        </w:tc>
        <w:tc>
          <w:tcPr>
            <w:tcW w:w="7873" w:type="dxa"/>
            <w:shd w:val="clear" w:color="auto" w:fill="9966FF"/>
          </w:tcPr>
          <w:p w:rsidRPr="00A57C54" w:rsidR="004B4C78" w:rsidRDefault="004B4C78">
            <w:pPr>
              <w:rPr>
                <w:b/>
              </w:rPr>
            </w:pPr>
            <w:r w:rsidRPr="00A57C54">
              <w:rPr>
                <w:b/>
              </w:rPr>
              <w:t>Actions to be taken</w:t>
            </w:r>
          </w:p>
        </w:tc>
      </w:tr>
      <w:tr w:rsidR="004B4C78" w:rsidTr="00947465">
        <w:tc>
          <w:tcPr>
            <w:tcW w:w="1143" w:type="dxa"/>
          </w:tcPr>
          <w:p w:rsidRPr="00A57C54" w:rsidR="004B4C78" w:rsidRDefault="004B4C78">
            <w:pPr>
              <w:rPr>
                <w:b/>
              </w:rPr>
            </w:pPr>
            <w:r w:rsidRPr="00A57C54">
              <w:rPr>
                <w:b/>
              </w:rPr>
              <w:t>At least 4 weeks prior to the review</w:t>
            </w:r>
          </w:p>
        </w:tc>
        <w:tc>
          <w:tcPr>
            <w:tcW w:w="7873" w:type="dxa"/>
          </w:tcPr>
          <w:p w:rsidR="004B4C78" w:rsidP="004B4C78" w:rsidRDefault="004B4C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Start Planning a Person centred review</w:t>
            </w:r>
            <w:r>
              <w:rPr>
                <w:sz w:val="23"/>
                <w:szCs w:val="23"/>
              </w:rPr>
              <w:t xml:space="preserve">: It is the setting SENCO’s responsibility to organise the review 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Confirm a date with parents and professionals. 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Consider how you are going to manage the meeting – how many practitioners will atten</w:t>
            </w:r>
            <w:r>
              <w:rPr>
                <w:sz w:val="23"/>
                <w:szCs w:val="23"/>
              </w:rPr>
              <w:t xml:space="preserve">d? How will you arrange cover? 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Arrange a room for the meeting. 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Consider how many people will be coming, comfort, privacy and space 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Send to parents the </w:t>
            </w:r>
            <w:r w:rsidRPr="004B4C78">
              <w:rPr>
                <w:b/>
                <w:sz w:val="23"/>
                <w:szCs w:val="23"/>
              </w:rPr>
              <w:t xml:space="preserve">invitation letter, parents’ report template, the All </w:t>
            </w:r>
            <w:proofErr w:type="gramStart"/>
            <w:r w:rsidRPr="004B4C78">
              <w:rPr>
                <w:b/>
                <w:sz w:val="23"/>
                <w:szCs w:val="23"/>
              </w:rPr>
              <w:t>About</w:t>
            </w:r>
            <w:proofErr w:type="gramEnd"/>
            <w:r w:rsidRPr="004B4C78">
              <w:rPr>
                <w:b/>
                <w:sz w:val="23"/>
                <w:szCs w:val="23"/>
              </w:rPr>
              <w:t xml:space="preserve"> Me</w:t>
            </w:r>
            <w:r>
              <w:rPr>
                <w:sz w:val="23"/>
                <w:szCs w:val="23"/>
              </w:rPr>
              <w:t>.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Send an </w:t>
            </w:r>
            <w:r w:rsidRPr="004B4C78">
              <w:rPr>
                <w:b/>
                <w:sz w:val="23"/>
                <w:szCs w:val="23"/>
              </w:rPr>
              <w:t>invite letter</w:t>
            </w:r>
            <w:r>
              <w:rPr>
                <w:sz w:val="23"/>
                <w:szCs w:val="23"/>
              </w:rPr>
              <w:t xml:space="preserve"> to all the involved professionals (those listed in Plan section K of the Plan if still involved) requesting attendance and a report. </w:t>
            </w:r>
          </w:p>
          <w:p w:rsidR="004B4C78" w:rsidP="004B4C78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It is appropriate to ask them to provide enough copies for all the attendees and to suggest a date t</w:t>
            </w:r>
            <w:r>
              <w:rPr>
                <w:sz w:val="23"/>
                <w:szCs w:val="23"/>
              </w:rPr>
              <w:t xml:space="preserve">hat you require the report by. </w:t>
            </w:r>
          </w:p>
          <w:p w:rsidRPr="00A57C54" w:rsidR="004B4C78" w:rsidP="00A57C54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the child is transferring to a new school or setting, invite practitioners from that setting to attend. </w:t>
            </w:r>
          </w:p>
        </w:tc>
      </w:tr>
      <w:tr w:rsidR="004B4C78" w:rsidTr="00947465">
        <w:tc>
          <w:tcPr>
            <w:tcW w:w="1143" w:type="dxa"/>
          </w:tcPr>
          <w:p w:rsidR="004B4C78" w:rsidRDefault="00A57C54">
            <w:r>
              <w:rPr>
                <w:b/>
                <w:bCs/>
                <w:sz w:val="23"/>
                <w:szCs w:val="23"/>
              </w:rPr>
              <w:t>3-4 weeks prior to the meeting</w:t>
            </w:r>
          </w:p>
        </w:tc>
        <w:tc>
          <w:tcPr>
            <w:tcW w:w="7873" w:type="dxa"/>
          </w:tcPr>
          <w:p w:rsidR="004B4C78" w:rsidP="00A57C54" w:rsidRDefault="004B4C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SENCO to meet with the key person to collate all the information needed to write the setting report using template </w:t>
            </w:r>
            <w:r w:rsidRPr="004B4C78">
              <w:rPr>
                <w:b/>
                <w:sz w:val="23"/>
                <w:szCs w:val="23"/>
              </w:rPr>
              <w:t>setting report.</w:t>
            </w:r>
            <w:r>
              <w:rPr>
                <w:sz w:val="23"/>
                <w:szCs w:val="23"/>
              </w:rPr>
              <w:t xml:space="preserve"> </w:t>
            </w:r>
          </w:p>
          <w:p w:rsidR="004B4C78" w:rsidP="004B4C78" w:rsidRDefault="004B4C7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 is fine to use bullet points in each section of the setting report. </w:t>
            </w:r>
          </w:p>
          <w:p w:rsidR="004B4C78" w:rsidP="004B4C78" w:rsidRDefault="004B4C7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Update the development assessments and review the latest APDR </w:t>
            </w:r>
          </w:p>
          <w:p w:rsidR="004B4C78" w:rsidP="004B4C78" w:rsidRDefault="004B4C7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Update section 8 of the SEN SP. </w:t>
            </w:r>
          </w:p>
          <w:p w:rsidR="004B4C78" w:rsidP="004B4C78" w:rsidRDefault="004B4C7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Arrange a meeting with the parents to go through the Plan with them, looking at what changes might need to be recorded (it will be helpful to have a copy of the Plan and go through with a pencil and highlighter, pencilling in changes to discuss at the meeting). </w:t>
            </w:r>
          </w:p>
          <w:p w:rsidR="004B4C78" w:rsidP="004B4C78" w:rsidRDefault="004B4C7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4B4C78">
              <w:rPr>
                <w:b/>
                <w:sz w:val="23"/>
                <w:szCs w:val="23"/>
              </w:rPr>
              <w:t>Update the All About Me.</w:t>
            </w:r>
            <w:r>
              <w:rPr>
                <w:sz w:val="23"/>
                <w:szCs w:val="23"/>
              </w:rPr>
              <w:t xml:space="preserve"> </w:t>
            </w:r>
          </w:p>
          <w:p w:rsidRPr="00A57C54" w:rsidR="004B4C78" w:rsidP="00A57C54" w:rsidRDefault="004B4C7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Collect child’s views using template </w:t>
            </w:r>
            <w:r w:rsidRPr="00A57C54">
              <w:rPr>
                <w:b/>
                <w:sz w:val="23"/>
                <w:szCs w:val="23"/>
              </w:rPr>
              <w:t>child’s views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B4C78" w:rsidTr="00947465">
        <w:tc>
          <w:tcPr>
            <w:tcW w:w="1143" w:type="dxa"/>
          </w:tcPr>
          <w:p w:rsidR="00A57C54" w:rsidP="00A57C54" w:rsidRDefault="00A57C54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At least two weeks prior to the meeting</w:t>
            </w:r>
          </w:p>
          <w:p w:rsidR="004B4C78" w:rsidRDefault="004B4C78"/>
        </w:tc>
        <w:tc>
          <w:tcPr>
            <w:tcW w:w="7873" w:type="dxa"/>
          </w:tcPr>
          <w:p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>Copy the setting report and the reports from the other professionals and parents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Send the reports to all of the attendees with a covering letter confirming the contents, a copy of the </w:t>
            </w:r>
            <w:r w:rsidRPr="00A57C5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agenda</w:t>
            </w: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with any information about parking, route to the building etc. 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>Ideally the reports will have been sent to you in time for you to circulate them before the meeting but note some professionals may bring the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ir reports along to the meeting.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Build in preparation time on the meeting day to make sure you have time and if possible the resources to copy any late reports for attendees 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>Ensure you have arranged cover for the members of staff who will be attendi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ng the meeting and contributing.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>Decide who will be note taking in the meeting and who will chair – it is sometimes difficult to do both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 xml:space="preserve">Look at the </w:t>
            </w:r>
            <w:r w:rsidRPr="00A57C5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Head of Setting’s Report</w:t>
            </w: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to familiarise yourself with the format and the way the meeting should run and see the </w:t>
            </w:r>
            <w:r w:rsidRPr="00A57C5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Gu</w:t>
            </w:r>
            <w:r w:rsidRPr="00A57C5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idance on completing the report.</w:t>
            </w:r>
          </w:p>
          <w:p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You can begin to prepopulate some parts, for instance the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register of attendees section 4.</w:t>
            </w:r>
          </w:p>
          <w:p w:rsidRPr="00A57C54" w:rsidR="00A57C54" w:rsidP="00A57C54" w:rsidRDefault="00A57C5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7C54">
              <w:rPr>
                <w:sz w:val="23"/>
                <w:szCs w:val="23"/>
              </w:rPr>
              <w:t xml:space="preserve">Ensure that you have arranged for a time to write up the </w:t>
            </w:r>
            <w:r>
              <w:rPr>
                <w:sz w:val="23"/>
                <w:szCs w:val="23"/>
              </w:rPr>
              <w:t>meeting notes after the meeting.</w:t>
            </w:r>
          </w:p>
        </w:tc>
      </w:tr>
      <w:tr w:rsidR="004B4C78" w:rsidTr="00947465">
        <w:tc>
          <w:tcPr>
            <w:tcW w:w="1143" w:type="dxa"/>
          </w:tcPr>
          <w:p w:rsidR="00A57C54" w:rsidP="00A57C54" w:rsidRDefault="00A57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On the day of the meeting </w:t>
            </w:r>
          </w:p>
          <w:p w:rsidR="004B4C78" w:rsidRDefault="004B4C78"/>
        </w:tc>
        <w:tc>
          <w:tcPr>
            <w:tcW w:w="7873" w:type="dxa"/>
          </w:tcPr>
          <w:p w:rsidR="00A57C54" w:rsidP="00A57C54" w:rsidRDefault="00A57C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You will need </w:t>
            </w:r>
          </w:p>
          <w:p w:rsidR="00A57C54" w:rsidP="00A57C54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Spare copies of the agenda. </w:t>
            </w:r>
          </w:p>
          <w:p w:rsidR="00A57C54" w:rsidP="00A57C54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 xml:space="preserve">our report and the other professionals’ reports (enough for all attendees if these haven’t already been sent) </w:t>
            </w:r>
          </w:p>
          <w:p w:rsidR="00A57C54" w:rsidP="00A57C54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child’s SEN Support Plan including updated Development Matters Summary (you may want to have some extra copies but it is not necessary to have one for all attendees) </w:t>
            </w:r>
          </w:p>
          <w:p w:rsidR="00A57C54" w:rsidP="00A57C54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Copies of the EHC Plan </w:t>
            </w:r>
          </w:p>
          <w:p w:rsidR="00A57C54" w:rsidP="00A57C54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copy of the </w:t>
            </w:r>
            <w:r w:rsidRPr="00F44182">
              <w:rPr>
                <w:b/>
                <w:sz w:val="23"/>
                <w:szCs w:val="23"/>
              </w:rPr>
              <w:t>Head of Setting’s Report</w:t>
            </w:r>
            <w:r>
              <w:rPr>
                <w:sz w:val="23"/>
                <w:szCs w:val="23"/>
              </w:rPr>
              <w:t xml:space="preserve"> of the Annual Review Meeting </w:t>
            </w:r>
          </w:p>
          <w:p w:rsidRPr="00A57C54" w:rsidR="004B4C78" w:rsidP="00A57C54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Tea and coffee (and biscuits!) </w:t>
            </w:r>
          </w:p>
        </w:tc>
      </w:tr>
      <w:tr w:rsidR="004B4C78" w:rsidTr="00947465">
        <w:tc>
          <w:tcPr>
            <w:tcW w:w="1143" w:type="dxa"/>
          </w:tcPr>
          <w:p w:rsidR="00F44182" w:rsidP="00F44182" w:rsidRDefault="00F441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At the meeting </w:t>
            </w:r>
          </w:p>
          <w:p w:rsidR="004B4C78" w:rsidRDefault="004B4C78"/>
        </w:tc>
        <w:tc>
          <w:tcPr>
            <w:tcW w:w="7873" w:type="dxa"/>
          </w:tcPr>
          <w:p w:rsidR="00A57C54" w:rsidP="00F44182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chair welcomes everyone an</w:t>
            </w:r>
            <w:r>
              <w:rPr>
                <w:sz w:val="23"/>
                <w:szCs w:val="23"/>
              </w:rPr>
              <w:t xml:space="preserve">d makes the introductions </w:t>
            </w:r>
            <w:r>
              <w:rPr>
                <w:sz w:val="23"/>
                <w:szCs w:val="23"/>
              </w:rPr>
              <w:t xml:space="preserve"> </w:t>
            </w:r>
          </w:p>
          <w:p w:rsidR="00A57C54" w:rsidP="00F44182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Ensures that everyone has had time to read the reports and give a little more time if this is necessary </w:t>
            </w:r>
          </w:p>
          <w:p w:rsidR="00A57C54" w:rsidP="00F44182" w:rsidRDefault="00A57C54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Explains the general way that the meeting will run and the aims for the meeting: </w:t>
            </w:r>
          </w:p>
          <w:p w:rsidRPr="00F44182" w:rsidR="00A57C54" w:rsidP="00F44182" w:rsidRDefault="00A57C5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F44182">
              <w:rPr>
                <w:rFonts w:asciiTheme="minorHAnsi" w:hAnsiTheme="minorHAnsi" w:cstheme="minorHAnsi"/>
                <w:sz w:val="23"/>
                <w:szCs w:val="23"/>
              </w:rPr>
              <w:t xml:space="preserve">every one to have the opportunity to briefly discuss the child’s progress </w:t>
            </w:r>
          </w:p>
          <w:p w:rsidRPr="00F44182" w:rsidR="00A57C54" w:rsidP="00F44182" w:rsidRDefault="00A57C5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F44182">
              <w:rPr>
                <w:rFonts w:asciiTheme="minorHAnsi" w:hAnsiTheme="minorHAnsi" w:cstheme="minorHAnsi"/>
                <w:sz w:val="23"/>
                <w:szCs w:val="23"/>
              </w:rPr>
              <w:t xml:space="preserve">parents to have the opportunity to discuss their views and ask questions </w:t>
            </w:r>
          </w:p>
          <w:p w:rsidRPr="00F44182" w:rsidR="00A57C54" w:rsidP="00F44182" w:rsidRDefault="00A57C5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F44182">
              <w:rPr>
                <w:rFonts w:asciiTheme="minorHAnsi" w:hAnsiTheme="minorHAnsi" w:cstheme="minorHAnsi"/>
                <w:sz w:val="23"/>
                <w:szCs w:val="23"/>
              </w:rPr>
              <w:t xml:space="preserve">opportunity for all to discuss things that have gone well and not so well </w:t>
            </w:r>
          </w:p>
          <w:p w:rsidRPr="00F44182" w:rsidR="00A57C54" w:rsidP="00F44182" w:rsidRDefault="00A57C54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F44182">
              <w:rPr>
                <w:rFonts w:asciiTheme="minorHAnsi" w:hAnsiTheme="minorHAnsi" w:cstheme="minorHAnsi"/>
                <w:sz w:val="23"/>
                <w:szCs w:val="23"/>
              </w:rPr>
              <w:t xml:space="preserve">to record any changes that need to be made to the Plan </w:t>
            </w:r>
          </w:p>
          <w:p w:rsidRPr="00F44182" w:rsidR="00A57C54" w:rsidP="00F44182" w:rsidRDefault="00A57C54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F44182">
              <w:rPr>
                <w:rFonts w:asciiTheme="minorHAnsi" w:hAnsiTheme="minorHAnsi" w:cstheme="minorHAnsi"/>
                <w:sz w:val="23"/>
                <w:szCs w:val="23"/>
              </w:rPr>
              <w:t xml:space="preserve">Participants take their turns to summarise their reports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Parents talk about their experiences and ask questions if required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chairman draws together the main points that have been raised before moving on to look at the Plan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Everyone looks through the Plan and agrees on any changes that need to be made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professionals will have provided their changes and advised on the changes to the outcomes and provision, giving the correct wording in their reports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setting and parents will have already suggested changes and updates that need to be recorded so this need not take too long if everyone agrees on the changes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 is important that transition to the next school is discussed and recorded in the report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f parents want a special school, the reports and discussion must reflect this </w:t>
            </w:r>
          </w:p>
          <w:p w:rsidR="00A57C54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Ensure the transfer review section of the report is completed </w:t>
            </w:r>
          </w:p>
          <w:p w:rsidRPr="00F44182" w:rsidR="004B4C78" w:rsidP="00F44182" w:rsidRDefault="00A57C54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chair brings the meeting to an end with a brief summary of the discussions and agreed actions, ensuring that the note taker records who will be </w:t>
            </w:r>
            <w:r>
              <w:rPr>
                <w:sz w:val="23"/>
                <w:szCs w:val="23"/>
              </w:rPr>
              <w:t xml:space="preserve">doing what </w:t>
            </w:r>
            <w:r>
              <w:rPr>
                <w:sz w:val="23"/>
                <w:szCs w:val="23"/>
              </w:rPr>
              <w:t xml:space="preserve"> It can be appropriate to set the date of the next review at this time if the child will still be under five and at the same setting </w:t>
            </w:r>
          </w:p>
        </w:tc>
      </w:tr>
      <w:tr w:rsidR="004B4C78" w:rsidTr="00947465">
        <w:tc>
          <w:tcPr>
            <w:tcW w:w="1143" w:type="dxa"/>
          </w:tcPr>
          <w:p w:rsidRPr="00F44182" w:rsidR="004B4C78" w:rsidP="00F44182" w:rsidRDefault="00F441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Following the meeting </w:t>
            </w:r>
          </w:p>
        </w:tc>
        <w:tc>
          <w:tcPr>
            <w:tcW w:w="7873" w:type="dxa"/>
          </w:tcPr>
          <w:p w:rsidRPr="00F44182" w:rsidR="00F44182" w:rsidP="00F44182" w:rsidRDefault="00F44182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t xml:space="preserve">The SENCO must complete the </w:t>
            </w:r>
            <w:r w:rsidRPr="00F44182">
              <w:rPr>
                <w:b/>
                <w:sz w:val="23"/>
                <w:szCs w:val="23"/>
              </w:rPr>
              <w:t>Head of Setting’s Report</w:t>
            </w:r>
            <w:r>
              <w:rPr>
                <w:sz w:val="23"/>
                <w:szCs w:val="23"/>
              </w:rPr>
              <w:t xml:space="preserve"> of the Annual Review Meeting and send it and all the reports to parents, professionals and the SEN Team within </w:t>
            </w:r>
            <w:r>
              <w:rPr>
                <w:b/>
                <w:bCs/>
                <w:sz w:val="23"/>
                <w:szCs w:val="23"/>
              </w:rPr>
              <w:t xml:space="preserve">10 days </w:t>
            </w:r>
            <w:r>
              <w:rPr>
                <w:sz w:val="23"/>
                <w:szCs w:val="23"/>
              </w:rPr>
              <w:t xml:space="preserve">of the meeting. See the </w:t>
            </w:r>
            <w:r w:rsidRPr="00F44182">
              <w:rPr>
                <w:b/>
                <w:sz w:val="23"/>
                <w:szCs w:val="23"/>
              </w:rPr>
              <w:t>Guidance on completing the report</w:t>
            </w:r>
            <w:r>
              <w:rPr>
                <w:b/>
                <w:sz w:val="23"/>
                <w:szCs w:val="23"/>
              </w:rPr>
              <w:t>.</w:t>
            </w:r>
          </w:p>
          <w:p w:rsidRPr="00F44182" w:rsidR="004B4C78" w:rsidP="00F44182" w:rsidRDefault="00F44182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See chart on next place for what happens once the Integrated SEN Team receive the paperwork. </w:t>
            </w:r>
          </w:p>
        </w:tc>
      </w:tr>
    </w:tbl>
    <w:p w:rsidR="004B4C78" w:rsidRDefault="004B4C78"/>
    <w:p w:rsidR="00947465" w:rsidRDefault="00947465"/>
    <w:p w:rsidR="00947465" w:rsidRDefault="00947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7465" w:rsidTr="00947465">
        <w:tc>
          <w:tcPr>
            <w:tcW w:w="9016" w:type="dxa"/>
          </w:tcPr>
          <w:p w:rsidR="00947465" w:rsidP="00947465" w:rsidRDefault="00947465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Once the written report of the Annual Review, plus all associated reports/advice etc. received by the SEN Team</w:t>
            </w:r>
          </w:p>
        </w:tc>
      </w:tr>
    </w:tbl>
    <w:p w:rsidR="00947465" w:rsidRDefault="00947465">
      <w:r>
        <w:t xml:space="preserve">                                                                                  </w:t>
      </w:r>
      <w:r>
        <w:rPr>
          <w:rFonts w:cstheme="minorHAnsi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7465" w:rsidTr="00947465">
        <w:tc>
          <w:tcPr>
            <w:tcW w:w="9016" w:type="dxa"/>
          </w:tcPr>
          <w:p w:rsidR="00947465" w:rsidP="00947465" w:rsidRDefault="00947465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LA Integrated SEN Team decides what action is required in light of the document received.</w:t>
            </w:r>
          </w:p>
        </w:tc>
      </w:tr>
    </w:tbl>
    <w:p w:rsidR="00947465" w:rsidRDefault="00947465">
      <w:pPr>
        <w:rPr>
          <w:rFonts w:cstheme="minorHAnsi"/>
        </w:rPr>
      </w:pPr>
      <w:r>
        <w:t xml:space="preserve">                                                                                   </w:t>
      </w:r>
      <w:r>
        <w:rPr>
          <w:rFonts w:cstheme="minorHAnsi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640"/>
        <w:gridCol w:w="3496"/>
      </w:tblGrid>
      <w:tr w:rsidR="008D0507" w:rsidTr="008D0507">
        <w:tc>
          <w:tcPr>
            <w:tcW w:w="2880" w:type="dxa"/>
          </w:tcPr>
          <w:p w:rsidR="008D0507" w:rsidP="008D0507" w:rsidRDefault="008D0507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3"/>
                <w:szCs w:val="23"/>
              </w:rPr>
              <w:t>Cease to Maintain</w:t>
            </w:r>
          </w:p>
        </w:tc>
        <w:tc>
          <w:tcPr>
            <w:tcW w:w="2640" w:type="dxa"/>
          </w:tcPr>
          <w:p w:rsidR="008D0507" w:rsidP="008D0507" w:rsidRDefault="008D0507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3"/>
                <w:szCs w:val="23"/>
              </w:rPr>
              <w:t>Amend</w:t>
            </w:r>
          </w:p>
        </w:tc>
        <w:tc>
          <w:tcPr>
            <w:tcW w:w="3496" w:type="dxa"/>
          </w:tcPr>
          <w:p w:rsidR="008D0507" w:rsidP="008D0507" w:rsidRDefault="008D0507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3"/>
                <w:szCs w:val="23"/>
              </w:rPr>
              <w:t>No Changes Required</w:t>
            </w:r>
          </w:p>
        </w:tc>
      </w:tr>
    </w:tbl>
    <w:p w:rsidR="00947465" w:rsidRDefault="008D0507">
      <w:r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2610"/>
        <w:gridCol w:w="3496"/>
      </w:tblGrid>
      <w:tr w:rsidR="008D0507" w:rsidTr="008D0507">
        <w:tc>
          <w:tcPr>
            <w:tcW w:w="2910" w:type="dxa"/>
          </w:tcPr>
          <w:p w:rsidR="008D0507" w:rsidP="008D0507" w:rsidRDefault="008D0507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SEN Team consults with parents/carers/young person and education setting</w:t>
            </w:r>
          </w:p>
        </w:tc>
        <w:tc>
          <w:tcPr>
            <w:tcW w:w="2610" w:type="dxa"/>
          </w:tcPr>
          <w:p w:rsidR="008D0507" w:rsidP="008D0507" w:rsidRDefault="008D0507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SEN Team sends copy of the current SEN Plan and amendments notice of intended changes to parents/carers/ young person</w:t>
            </w:r>
          </w:p>
        </w:tc>
        <w:tc>
          <w:tcPr>
            <w:tcW w:w="3496" w:type="dxa"/>
          </w:tcPr>
          <w:p w:rsidR="008D0507" w:rsidP="008D0507" w:rsidRDefault="008D0507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SEN Team notifies parents/carers/young person that no changes will be made to the EHC Plan and their right to appeal against this decision.</w:t>
            </w:r>
          </w:p>
        </w:tc>
      </w:tr>
    </w:tbl>
    <w:p w:rsidR="00947465" w:rsidRDefault="00947465">
      <w:r>
        <w:t xml:space="preserve">                                                                                   </w:t>
      </w:r>
      <w:r>
        <w:rPr>
          <w:rFonts w:cstheme="minorHAnsi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0"/>
        <w:gridCol w:w="4816"/>
      </w:tblGrid>
      <w:tr w:rsidR="008D0507" w:rsidTr="008D0507">
        <w:tc>
          <w:tcPr>
            <w:tcW w:w="4200" w:type="dxa"/>
            <w:tcBorders>
              <w:bottom w:val="single" w:color="auto" w:sz="4" w:space="0"/>
            </w:tcBorders>
          </w:tcPr>
          <w:p w:rsidR="008D0507" w:rsidP="008D0507" w:rsidRDefault="008D0507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Following Consultation, if EHC Plan is to be ceased parents/carers/ young person notified of their right to appeal</w:t>
            </w:r>
          </w:p>
        </w:tc>
        <w:tc>
          <w:tcPr>
            <w:tcW w:w="4816" w:type="dxa"/>
          </w:tcPr>
          <w:p w:rsidR="008D0507" w:rsidP="008D0507" w:rsidRDefault="008D0507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Parents/carers/ young person given 15 days to comment/respond</w:t>
            </w:r>
          </w:p>
        </w:tc>
      </w:tr>
    </w:tbl>
    <w:p w:rsidR="00947465" w:rsidP="00947465" w:rsidRDefault="00947465">
      <w:r>
        <w:t xml:space="preserve">                                                                                  </w:t>
      </w:r>
      <w:r>
        <w:rPr>
          <w:rFonts w:cstheme="minorHAnsi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5"/>
        <w:gridCol w:w="4801"/>
      </w:tblGrid>
      <w:tr w:rsidR="008D0507" w:rsidTr="008D0507">
        <w:tc>
          <w:tcPr>
            <w:tcW w:w="4215" w:type="dxa"/>
          </w:tcPr>
          <w:p w:rsidR="008D0507" w:rsidP="008D0507" w:rsidRDefault="008D0507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Needs continue to be met without the need for EHC</w:t>
            </w:r>
          </w:p>
        </w:tc>
        <w:tc>
          <w:tcPr>
            <w:tcW w:w="4801" w:type="dxa"/>
          </w:tcPr>
          <w:p w:rsidR="008D0507" w:rsidP="008D0507" w:rsidRDefault="008D0507">
            <w:pPr>
              <w:jc w:val="right"/>
            </w:pPr>
            <w:r>
              <w:rPr>
                <w:b/>
                <w:bCs/>
              </w:rPr>
              <w:t>Within 8 weeks of sending amendment notice SEN Team to issue amended EHC Plan and advise parents/carers/young person of right to appeal</w:t>
            </w:r>
          </w:p>
        </w:tc>
      </w:tr>
    </w:tbl>
    <w:p w:rsidR="00947465" w:rsidRDefault="00947465"/>
    <w:p w:rsidR="00947465" w:rsidRDefault="00947465"/>
    <w:sectPr w:rsidR="009474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07" w:rsidRDefault="008D0507" w:rsidP="008D0507">
      <w:pPr>
        <w:spacing w:after="0" w:line="240" w:lineRule="auto"/>
      </w:pPr>
      <w:r>
        <w:separator/>
      </w:r>
    </w:p>
  </w:endnote>
  <w:endnote w:type="continuationSeparator" w:id="0">
    <w:p w:rsidR="008D0507" w:rsidRDefault="008D0507" w:rsidP="008D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07" w:rsidRDefault="008D0507" w:rsidP="008D0507">
      <w:pPr>
        <w:spacing w:after="0" w:line="240" w:lineRule="auto"/>
      </w:pPr>
      <w:r>
        <w:separator/>
      </w:r>
    </w:p>
  </w:footnote>
  <w:footnote w:type="continuationSeparator" w:id="0">
    <w:p w:rsidR="008D0507" w:rsidRDefault="008D0507" w:rsidP="008D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07" w:rsidRDefault="008D0507">
    <w:pPr>
      <w:pStyle w:val="Header"/>
    </w:pPr>
    <w:r w:rsidRPr="005B088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FB3562" wp14:editId="343BB5E9">
          <wp:simplePos x="0" y="0"/>
          <wp:positionH relativeFrom="margin">
            <wp:posOffset>5324475</wp:posOffset>
          </wp:positionH>
          <wp:positionV relativeFrom="paragraph">
            <wp:posOffset>-240665</wp:posOffset>
          </wp:positionV>
          <wp:extent cx="1137285" cy="466725"/>
          <wp:effectExtent l="0" t="0" r="5715" b="9525"/>
          <wp:wrapSquare wrapText="bothSides"/>
          <wp:docPr id="1" name="Picture 2" descr="Bury_Council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ry_Council_Logo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87F"/>
    <w:multiLevelType w:val="hybridMultilevel"/>
    <w:tmpl w:val="BD24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169"/>
    <w:multiLevelType w:val="hybridMultilevel"/>
    <w:tmpl w:val="49861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3C4"/>
    <w:multiLevelType w:val="hybridMultilevel"/>
    <w:tmpl w:val="3E3CF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964"/>
    <w:multiLevelType w:val="hybridMultilevel"/>
    <w:tmpl w:val="1C925C58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9CC1142"/>
    <w:multiLevelType w:val="hybridMultilevel"/>
    <w:tmpl w:val="7454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6EFE"/>
    <w:multiLevelType w:val="hybridMultilevel"/>
    <w:tmpl w:val="9AE8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695"/>
    <w:multiLevelType w:val="hybridMultilevel"/>
    <w:tmpl w:val="AD42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C2736"/>
    <w:multiLevelType w:val="hybridMultilevel"/>
    <w:tmpl w:val="097EA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8"/>
    <w:rsid w:val="004B4C78"/>
    <w:rsid w:val="008D0507"/>
    <w:rsid w:val="00947465"/>
    <w:rsid w:val="00A57C54"/>
    <w:rsid w:val="00B80AAD"/>
    <w:rsid w:val="00C118C7"/>
    <w:rsid w:val="00CC4C6B"/>
    <w:rsid w:val="00F44182"/>
    <w:rsid w:val="00F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B351-717E-4634-BCF3-33B9E65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C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07"/>
  </w:style>
  <w:style w:type="paragraph" w:styleId="Footer">
    <w:name w:val="footer"/>
    <w:basedOn w:val="Normal"/>
    <w:link w:val="FooterChar"/>
    <w:uiPriority w:val="99"/>
    <w:unhideWhenUsed/>
    <w:rsid w:val="008D0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Council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Planning-an-EY-EHC-Annual-Review</dc:title>
  <dc:subject>
  </dc:subject>
  <dc:creator>Ash, Joanne</dc:creator>
  <cp:keywords>
  </cp:keywords>
  <dc:description>
  </dc:description>
  <cp:lastModifiedBy>ContentModelMigrator</cp:lastModifiedBy>
  <cp:revision>4</cp:revision>
  <dcterms:created xsi:type="dcterms:W3CDTF">2020-11-25T11:11:00Z</dcterms:created>
  <dcterms:modified xsi:type="dcterms:W3CDTF">2025-03-24T16:48:27Z</dcterms:modified>
</cp:coreProperties>
</file>